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C76" w:rsidRDefault="00082C76" w:rsidP="00082C76">
      <w:pPr>
        <w:pStyle w:val="Web"/>
        <w:spacing w:before="0" w:beforeAutospacing="0" w:after="0" w:afterAutospacing="0"/>
        <w:ind w:firstLine="720"/>
        <w:jc w:val="center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475105" cy="1249680"/>
            <wp:effectExtent l="0" t="0" r="0" b="7620"/>
            <wp:wrapTight wrapText="bothSides">
              <wp:wrapPolygon edited="0">
                <wp:start x="0" y="0"/>
                <wp:lineTo x="0" y="21402"/>
                <wp:lineTo x="21200" y="21402"/>
                <wp:lineTo x="21200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ilida_blue_cu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C76" w:rsidRDefault="00082C76" w:rsidP="00A51F81">
      <w:pPr>
        <w:pStyle w:val="Web"/>
        <w:spacing w:before="0" w:beforeAutospacing="0" w:after="0" w:afterAutospacing="0"/>
        <w:ind w:firstLine="720"/>
        <w:jc w:val="both"/>
        <w:rPr>
          <w:rFonts w:asciiTheme="minorHAnsi" w:hAnsiTheme="minorHAnsi" w:cs="Arial"/>
          <w:color w:val="000000"/>
        </w:rPr>
      </w:pPr>
    </w:p>
    <w:p w:rsidR="00082C76" w:rsidRDefault="00082C76" w:rsidP="00A51F81">
      <w:pPr>
        <w:pStyle w:val="Web"/>
        <w:spacing w:before="0" w:beforeAutospacing="0" w:after="0" w:afterAutospacing="0"/>
        <w:ind w:firstLine="720"/>
        <w:jc w:val="both"/>
        <w:rPr>
          <w:rFonts w:asciiTheme="minorHAnsi" w:hAnsiTheme="minorHAnsi" w:cs="Arial"/>
          <w:color w:val="000000"/>
        </w:rPr>
      </w:pPr>
    </w:p>
    <w:p w:rsidR="00082C76" w:rsidRDefault="00082C76" w:rsidP="00A51F81">
      <w:pPr>
        <w:pStyle w:val="Web"/>
        <w:spacing w:before="0" w:beforeAutospacing="0" w:after="0" w:afterAutospacing="0"/>
        <w:ind w:firstLine="720"/>
        <w:jc w:val="both"/>
        <w:rPr>
          <w:rFonts w:asciiTheme="minorHAnsi" w:hAnsiTheme="minorHAnsi" w:cs="Arial"/>
          <w:color w:val="000000"/>
        </w:rPr>
      </w:pPr>
    </w:p>
    <w:p w:rsidR="00082C76" w:rsidRDefault="00082C76" w:rsidP="00A960B0">
      <w:pPr>
        <w:pStyle w:val="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082C76" w:rsidRDefault="00082C76" w:rsidP="00A51F81">
      <w:pPr>
        <w:pStyle w:val="Web"/>
        <w:spacing w:before="0" w:beforeAutospacing="0" w:after="0" w:afterAutospacing="0"/>
        <w:ind w:firstLine="720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082C76" w:rsidRDefault="00082C76" w:rsidP="00320C6A">
      <w:pPr>
        <w:pStyle w:val="Web"/>
        <w:spacing w:before="0" w:beforeAutospacing="0" w:after="0" w:afterAutospacing="0"/>
        <w:ind w:firstLine="720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DA63D8" w:rsidRPr="00A960B0" w:rsidRDefault="00A51F81" w:rsidP="00320C6A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="Arial"/>
          <w:color w:val="000000"/>
        </w:rPr>
      </w:pPr>
      <w:r w:rsidRPr="00A960B0">
        <w:rPr>
          <w:rFonts w:asciiTheme="minorHAnsi" w:hAnsiTheme="minorHAnsi" w:cs="Arial"/>
          <w:color w:val="000000"/>
        </w:rPr>
        <w:t xml:space="preserve">Ο Δήμος Ήλιδας επιθυμώντας </w:t>
      </w:r>
      <w:r w:rsidRPr="00A960B0">
        <w:rPr>
          <w:rFonts w:asciiTheme="minorHAnsi" w:hAnsiTheme="minorHAnsi" w:cs="Arial"/>
          <w:color w:val="000000"/>
        </w:rPr>
        <w:t xml:space="preserve"> να εκφράσει την αμέριστη συμπαράσταση του  και την αλληλεγγύη του  στο δοκιμαζόμενο ουκρανικό λαό</w:t>
      </w:r>
      <w:r w:rsidRPr="00A960B0">
        <w:rPr>
          <w:rFonts w:asciiTheme="minorHAnsi" w:hAnsiTheme="minorHAnsi" w:cs="Arial"/>
          <w:color w:val="000000"/>
        </w:rPr>
        <w:t xml:space="preserve">, ενημερώνει τους δημότες του ότι </w:t>
      </w:r>
      <w:r w:rsidR="00DA63D8" w:rsidRPr="00A960B0">
        <w:rPr>
          <w:rFonts w:asciiTheme="minorHAnsi" w:hAnsiTheme="minorHAnsi" w:cs="Arial"/>
          <w:color w:val="000000"/>
        </w:rPr>
        <w:t xml:space="preserve">συγκεντρώνει φάρμακα, υγειονομικό υλικό και τρόφιμα προκειμένου να τα αποστείλει στις εμπόλεμες περιοχές </w:t>
      </w:r>
      <w:r w:rsidRPr="00A960B0">
        <w:rPr>
          <w:rFonts w:asciiTheme="minorHAnsi" w:hAnsiTheme="minorHAnsi" w:cs="Arial"/>
          <w:color w:val="000000"/>
        </w:rPr>
        <w:t>.</w:t>
      </w:r>
    </w:p>
    <w:p w:rsidR="00DA63D8" w:rsidRPr="00A960B0" w:rsidRDefault="00DA63D8" w:rsidP="00320C6A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="Arial"/>
          <w:color w:val="000000"/>
        </w:rPr>
      </w:pPr>
      <w:r w:rsidRPr="00A960B0">
        <w:rPr>
          <w:rFonts w:asciiTheme="minorHAnsi" w:hAnsiTheme="minorHAnsi" w:cs="Arial"/>
          <w:color w:val="000000"/>
        </w:rPr>
        <w:t xml:space="preserve">Φορείς, εκπρόσωποι τοπικών επιχειρήσεων και πολίτες </w:t>
      </w:r>
      <w:r w:rsidR="00A51F81" w:rsidRPr="00A960B0">
        <w:rPr>
          <w:rFonts w:asciiTheme="minorHAnsi" w:hAnsiTheme="minorHAnsi" w:cs="Arial"/>
          <w:color w:val="000000"/>
        </w:rPr>
        <w:t xml:space="preserve">που </w:t>
      </w:r>
      <w:r w:rsidRPr="00A960B0">
        <w:rPr>
          <w:rFonts w:asciiTheme="minorHAnsi" w:hAnsiTheme="minorHAnsi" w:cs="Arial"/>
          <w:color w:val="000000"/>
        </w:rPr>
        <w:t xml:space="preserve">επιθυμούν να βοηθήσουν, μπορούν να προσφέρουν </w:t>
      </w:r>
      <w:r w:rsidR="00A51F81" w:rsidRPr="00A960B0">
        <w:rPr>
          <w:rFonts w:asciiTheme="minorHAnsi" w:hAnsiTheme="minorHAnsi" w:cs="Arial"/>
          <w:color w:val="000000"/>
        </w:rPr>
        <w:t xml:space="preserve">οποιαδήποτε από τα κάτωθι υλικά </w:t>
      </w:r>
      <w:r w:rsidRPr="00A960B0">
        <w:rPr>
          <w:rFonts w:asciiTheme="minorHAnsi" w:hAnsiTheme="minorHAnsi" w:cs="Arial"/>
          <w:color w:val="000000"/>
        </w:rPr>
        <w:t xml:space="preserve">, </w:t>
      </w:r>
      <w:r w:rsidR="00A51F81" w:rsidRPr="00A960B0">
        <w:rPr>
          <w:rFonts w:asciiTheme="minorHAnsi" w:hAnsiTheme="minorHAnsi" w:cs="Arial"/>
          <w:color w:val="000000"/>
        </w:rPr>
        <w:t xml:space="preserve">από την Τρίτη  8 Μαρτίου έως </w:t>
      </w:r>
      <w:r w:rsidRPr="00A960B0">
        <w:rPr>
          <w:rFonts w:asciiTheme="minorHAnsi" w:hAnsiTheme="minorHAnsi" w:cs="Arial"/>
          <w:color w:val="000000"/>
        </w:rPr>
        <w:t xml:space="preserve">και την Παρασκευή </w:t>
      </w:r>
      <w:r w:rsidR="00A51F81" w:rsidRPr="00A960B0">
        <w:rPr>
          <w:rFonts w:asciiTheme="minorHAnsi" w:hAnsiTheme="minorHAnsi" w:cs="Arial"/>
          <w:color w:val="000000"/>
        </w:rPr>
        <w:t>11</w:t>
      </w:r>
      <w:r w:rsidRPr="00A960B0">
        <w:rPr>
          <w:rFonts w:asciiTheme="minorHAnsi" w:hAnsiTheme="minorHAnsi" w:cs="Arial"/>
          <w:color w:val="000000"/>
        </w:rPr>
        <w:t xml:space="preserve"> Μαρτίου 2022, κατά τις ώρες 09:00 - 1</w:t>
      </w:r>
      <w:r w:rsidR="00A51F81" w:rsidRPr="00A960B0">
        <w:rPr>
          <w:rFonts w:asciiTheme="minorHAnsi" w:hAnsiTheme="minorHAnsi" w:cs="Arial"/>
          <w:color w:val="000000"/>
        </w:rPr>
        <w:t>3</w:t>
      </w:r>
      <w:r w:rsidRPr="00A960B0">
        <w:rPr>
          <w:rFonts w:asciiTheme="minorHAnsi" w:hAnsiTheme="minorHAnsi" w:cs="Arial"/>
          <w:color w:val="000000"/>
        </w:rPr>
        <w:t>:</w:t>
      </w:r>
      <w:r w:rsidR="00A51F81" w:rsidRPr="00A960B0">
        <w:rPr>
          <w:rFonts w:asciiTheme="minorHAnsi" w:hAnsiTheme="minorHAnsi" w:cs="Arial"/>
          <w:color w:val="000000"/>
        </w:rPr>
        <w:t xml:space="preserve">00, στο </w:t>
      </w:r>
      <w:proofErr w:type="spellStart"/>
      <w:r w:rsidR="00A51F81" w:rsidRPr="00A960B0">
        <w:rPr>
          <w:rFonts w:asciiTheme="minorHAnsi" w:hAnsiTheme="minorHAnsi" w:cs="Arial"/>
          <w:color w:val="000000"/>
        </w:rPr>
        <w:t>Λαζαράκειο</w:t>
      </w:r>
      <w:proofErr w:type="spellEnd"/>
      <w:r w:rsidR="00A51F81" w:rsidRPr="00A960B0">
        <w:rPr>
          <w:rFonts w:asciiTheme="minorHAnsi" w:hAnsiTheme="minorHAnsi" w:cs="Arial"/>
          <w:color w:val="000000"/>
        </w:rPr>
        <w:t xml:space="preserve"> Δημοτικό Μέγαρο , στο ισόγειο του κτιρίου.</w:t>
      </w:r>
      <w:r w:rsidRPr="00A960B0">
        <w:rPr>
          <w:rFonts w:asciiTheme="minorHAnsi" w:hAnsiTheme="minorHAnsi" w:cs="Arial"/>
          <w:color w:val="000000"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39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82C76" w:rsidRPr="00A960B0" w:rsidTr="00082C76">
        <w:trPr>
          <w:trHeight w:val="568"/>
        </w:trPr>
        <w:tc>
          <w:tcPr>
            <w:tcW w:w="4148" w:type="dxa"/>
            <w:vAlign w:val="center"/>
          </w:tcPr>
          <w:p w:rsidR="00082C76" w:rsidRPr="00A960B0" w:rsidRDefault="00082C76" w:rsidP="00082C76">
            <w:pPr>
              <w:jc w:val="center"/>
              <w:rPr>
                <w:sz w:val="24"/>
                <w:szCs w:val="24"/>
              </w:rPr>
            </w:pPr>
            <w:r w:rsidRPr="00A960B0">
              <w:rPr>
                <w:rStyle w:val="a3"/>
                <w:rFonts w:cs="Arial"/>
                <w:color w:val="000000"/>
                <w:sz w:val="24"/>
                <w:szCs w:val="24"/>
              </w:rPr>
              <w:t>Λίστα φαρμάκων - υγειονομικού υλικού</w:t>
            </w:r>
          </w:p>
        </w:tc>
        <w:tc>
          <w:tcPr>
            <w:tcW w:w="4148" w:type="dxa"/>
            <w:vAlign w:val="center"/>
          </w:tcPr>
          <w:p w:rsidR="00082C76" w:rsidRPr="00A960B0" w:rsidRDefault="00082C76" w:rsidP="00082C76">
            <w:pPr>
              <w:jc w:val="center"/>
              <w:rPr>
                <w:sz w:val="24"/>
                <w:szCs w:val="24"/>
              </w:rPr>
            </w:pPr>
            <w:r w:rsidRPr="00A960B0">
              <w:rPr>
                <w:rStyle w:val="a3"/>
                <w:rFonts w:cs="Arial"/>
                <w:color w:val="000000"/>
                <w:sz w:val="24"/>
                <w:szCs w:val="24"/>
              </w:rPr>
              <w:t>Τρόφιμα μακράς διαρκείας</w:t>
            </w:r>
          </w:p>
        </w:tc>
      </w:tr>
      <w:tr w:rsidR="00082C76" w:rsidRPr="00A960B0" w:rsidTr="00082C76">
        <w:trPr>
          <w:trHeight w:val="7636"/>
        </w:trPr>
        <w:tc>
          <w:tcPr>
            <w:tcW w:w="4148" w:type="dxa"/>
          </w:tcPr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αντιβιοτικά (ενέσιμα)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καθετήρες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αιμοστατικές γάζες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ενδοφλέβιοι καθετήρες 18G και 22G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αιμοστατικά (</w:t>
            </w:r>
            <w:proofErr w:type="spellStart"/>
            <w:r w:rsidRPr="00A960B0">
              <w:rPr>
                <w:rFonts w:asciiTheme="minorHAnsi" w:hAnsiTheme="minorHAnsi" w:cs="Arial"/>
                <w:color w:val="000000"/>
              </w:rPr>
              <w:t>τρανεξαμικό</w:t>
            </w:r>
            <w:proofErr w:type="spellEnd"/>
            <w:r w:rsidRPr="00A960B0">
              <w:rPr>
                <w:rFonts w:asciiTheme="minorHAnsi" w:hAnsiTheme="minorHAnsi" w:cs="Arial"/>
                <w:color w:val="000000"/>
              </w:rPr>
              <w:t xml:space="preserve"> οξύ σε οποιαδήποτε μορφή)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αντιβακτηριδιακά επιθέματα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A960B0">
              <w:rPr>
                <w:rFonts w:asciiTheme="minorHAnsi" w:hAnsiTheme="minorHAnsi" w:cs="Arial"/>
                <w:color w:val="000000"/>
              </w:rPr>
              <w:t>Ambu</w:t>
            </w:r>
            <w:proofErr w:type="spellEnd"/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επίδεσμοι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γύψινοι επίδεσμοι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A960B0">
              <w:rPr>
                <w:rFonts w:asciiTheme="minorHAnsi" w:hAnsiTheme="minorHAnsi" w:cs="Arial"/>
                <w:color w:val="000000"/>
              </w:rPr>
              <w:t>αντισταμινικά</w:t>
            </w:r>
            <w:proofErr w:type="spellEnd"/>
            <w:r w:rsidRPr="00A960B0">
              <w:rPr>
                <w:rFonts w:asciiTheme="minorHAnsi" w:hAnsiTheme="minorHAnsi" w:cs="Arial"/>
                <w:color w:val="000000"/>
              </w:rPr>
              <w:t xml:space="preserve"> (ενέσιμα)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αποστειρωμένα γάντια (μέγεθος M, L)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σύριγγες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συστήματα ορού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ορμόνες (ενέσιμες)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ενέσιμα φάρμακα για γαστρεντερικό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A960B0">
              <w:rPr>
                <w:rFonts w:asciiTheme="minorHAnsi" w:hAnsiTheme="minorHAnsi" w:cs="Arial"/>
                <w:color w:val="000000"/>
              </w:rPr>
              <w:t>νιφουροξαζίδη</w:t>
            </w:r>
            <w:proofErr w:type="spellEnd"/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ενεργοποιημένος άνθρακας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Φυσιολογικούς ορούς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A960B0">
              <w:rPr>
                <w:rFonts w:asciiTheme="minorHAnsi" w:hAnsiTheme="minorHAnsi" w:cs="Arial"/>
                <w:color w:val="000000"/>
              </w:rPr>
              <w:t>τραμαδόλη</w:t>
            </w:r>
            <w:proofErr w:type="spellEnd"/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A960B0">
              <w:rPr>
                <w:rFonts w:asciiTheme="minorHAnsi" w:hAnsiTheme="minorHAnsi" w:cs="Arial"/>
                <w:color w:val="000000"/>
              </w:rPr>
              <w:t>Αντιυπερτασικά</w:t>
            </w:r>
            <w:proofErr w:type="spellEnd"/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γάζες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επίδεσμοι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ράμματα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βελόνες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αιμοστατικοί παράγοντες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Αντλίες ενδοφλέβιων υγρών</w:t>
            </w:r>
          </w:p>
          <w:p w:rsidR="00082C76" w:rsidRPr="00A960B0" w:rsidRDefault="00082C76" w:rsidP="00082C76">
            <w:pPr>
              <w:rPr>
                <w:sz w:val="24"/>
                <w:szCs w:val="24"/>
              </w:rPr>
            </w:pPr>
          </w:p>
        </w:tc>
        <w:tc>
          <w:tcPr>
            <w:tcW w:w="4148" w:type="dxa"/>
          </w:tcPr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κονσέρβες παντός τύπου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γάλα εβαπορέ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γάλα σε σκόνη για παιδιά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δημητριακά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ζυμαρικά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όσπρια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αλεύρι</w:t>
            </w:r>
          </w:p>
          <w:p w:rsidR="00082C76" w:rsidRPr="00A960B0" w:rsidRDefault="00082C76" w:rsidP="00082C76">
            <w:pPr>
              <w:pStyle w:val="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960B0">
              <w:rPr>
                <w:rFonts w:asciiTheme="minorHAnsi" w:hAnsiTheme="minorHAnsi" w:cs="Arial"/>
                <w:color w:val="000000"/>
              </w:rPr>
              <w:t>παξιμάδια</w:t>
            </w:r>
          </w:p>
          <w:p w:rsidR="00082C76" w:rsidRPr="00A960B0" w:rsidRDefault="00082C76" w:rsidP="00082C76">
            <w:pPr>
              <w:rPr>
                <w:sz w:val="24"/>
                <w:szCs w:val="24"/>
              </w:rPr>
            </w:pPr>
          </w:p>
        </w:tc>
      </w:tr>
    </w:tbl>
    <w:p w:rsidR="00082C76" w:rsidRPr="00A960B0" w:rsidRDefault="00082C76" w:rsidP="00082C76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="Arial"/>
          <w:color w:val="000000"/>
        </w:rPr>
      </w:pPr>
    </w:p>
    <w:p w:rsidR="00DA63D8" w:rsidRPr="00DA63D8" w:rsidRDefault="00DA63D8">
      <w:pPr>
        <w:rPr>
          <w:sz w:val="24"/>
          <w:szCs w:val="24"/>
        </w:rPr>
      </w:pPr>
      <w:bookmarkStart w:id="0" w:name="_GoBack"/>
      <w:bookmarkEnd w:id="0"/>
    </w:p>
    <w:sectPr w:rsidR="00DA63D8" w:rsidRPr="00DA63D8" w:rsidSect="00A960B0">
      <w:pgSz w:w="11907" w:h="16839" w:code="9"/>
      <w:pgMar w:top="720" w:right="153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4C"/>
    <w:rsid w:val="00082C76"/>
    <w:rsid w:val="00162D0D"/>
    <w:rsid w:val="00320C6A"/>
    <w:rsid w:val="0036194F"/>
    <w:rsid w:val="008E3FC1"/>
    <w:rsid w:val="009D004C"/>
    <w:rsid w:val="00A51F81"/>
    <w:rsid w:val="00A960B0"/>
    <w:rsid w:val="00DA63D8"/>
    <w:rsid w:val="00F0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C377A-AEB7-4CD4-9EA8-52D72C44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A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A63D8"/>
    <w:rPr>
      <w:b/>
      <w:bCs/>
    </w:rPr>
  </w:style>
  <w:style w:type="table" w:styleId="a4">
    <w:name w:val="Table Grid"/>
    <w:basedOn w:val="a1"/>
    <w:uiPriority w:val="39"/>
    <w:rsid w:val="00DA6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A.Kanellakopoulou</dc:creator>
  <cp:keywords/>
  <dc:description/>
  <cp:lastModifiedBy>A.Kanellakopoulou</cp:lastModifiedBy>
  <cp:revision>2</cp:revision>
  <cp:lastPrinted>2022-03-04T10:57:00Z</cp:lastPrinted>
  <dcterms:created xsi:type="dcterms:W3CDTF">2022-03-04T12:12:00Z</dcterms:created>
  <dcterms:modified xsi:type="dcterms:W3CDTF">2022-03-04T12:12:00Z</dcterms:modified>
</cp:coreProperties>
</file>